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33" w:rsidRDefault="00FC5787">
      <w:pPr>
        <w:shd w:val="clear" w:color="auto" w:fill="E5DFEC"/>
      </w:pPr>
      <w:r>
        <w:rPr>
          <w:b/>
          <w:noProof/>
        </w:rPr>
        <w:drawing>
          <wp:inline distT="0" distB="0" distL="0" distR="0">
            <wp:extent cx="6810375" cy="7334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773" w:type="dxa"/>
        <w:tblInd w:w="1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644"/>
        <w:gridCol w:w="5060"/>
      </w:tblGrid>
      <w:tr w:rsidR="00715B33">
        <w:trPr>
          <w:gridAfter w:val="2"/>
          <w:wAfter w:w="5704" w:type="dxa"/>
          <w:trHeight w:val="1340"/>
        </w:trPr>
        <w:tc>
          <w:tcPr>
            <w:tcW w:w="40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15B33" w:rsidRDefault="00715B33">
            <w:pPr>
              <w:spacing w:after="0" w:line="240" w:lineRule="auto"/>
              <w:ind w:firstLine="709"/>
              <w:jc w:val="center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</w:p>
          <w:p w:rsidR="00715B33" w:rsidRDefault="00FC5787">
            <w:pPr>
              <w:spacing w:after="0" w:line="240" w:lineRule="auto"/>
              <w:ind w:firstLine="709"/>
              <w:jc w:val="center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ფაკულტეტი</w:t>
            </w:r>
          </w:p>
          <w:p w:rsidR="00715B33" w:rsidRDefault="00715B33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715B33">
        <w:trPr>
          <w:trHeight w:val="860"/>
        </w:trPr>
        <w:tc>
          <w:tcPr>
            <w:tcW w:w="4069" w:type="dxa"/>
          </w:tcPr>
          <w:p w:rsidR="00715B33" w:rsidRDefault="00FC5787">
            <w:pPr>
              <w:spacing w:after="0" w:line="240" w:lineRule="auto"/>
              <w:ind w:left="1740" w:hanging="174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„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დამტკიცებულია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“</w:t>
            </w:r>
          </w:p>
          <w:p w:rsidR="00715B33" w:rsidRDefault="00715B33">
            <w:pPr>
              <w:spacing w:after="0" w:line="240" w:lineRule="auto"/>
              <w:ind w:left="1740" w:hanging="174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  <w:p w:rsidR="00715B33" w:rsidRDefault="00FC5787">
            <w:pPr>
              <w:spacing w:after="0" w:line="240" w:lineRule="auto"/>
              <w:ind w:left="1740" w:hanging="174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რექტორი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------------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პროფ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გიორგი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ღავთაძე</w:t>
            </w:r>
            <w:proofErr w:type="spellEnd"/>
          </w:p>
          <w:p w:rsidR="00715B33" w:rsidRDefault="00715B3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საბჭოს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სხდომის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</w:p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ოქმი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№1.15. 09.2017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წ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</w:p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44" w:type="dxa"/>
          </w:tcPr>
          <w:p w:rsidR="00715B33" w:rsidRDefault="00715B33">
            <w:pPr>
              <w:spacing w:after="0" w:line="240" w:lineRule="auto"/>
              <w:ind w:firstLine="709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715B33" w:rsidRDefault="00715B33">
            <w:pPr>
              <w:spacing w:after="0" w:line="240" w:lineRule="auto"/>
              <w:ind w:firstLine="709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715B33" w:rsidRDefault="00715B33">
            <w:pPr>
              <w:spacing w:after="0" w:line="240" w:lineRule="auto"/>
              <w:ind w:firstLine="709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715B33" w:rsidRDefault="00715B33">
            <w:pPr>
              <w:spacing w:after="0" w:line="240" w:lineRule="auto"/>
              <w:ind w:firstLine="709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060" w:type="dxa"/>
          </w:tcPr>
          <w:p w:rsidR="00715B33" w:rsidRDefault="00FC5787">
            <w:pPr>
              <w:spacing w:after="0" w:line="360" w:lineRule="auto"/>
              <w:ind w:left="1740" w:hanging="174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„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დამტკიცებულია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“</w:t>
            </w:r>
          </w:p>
          <w:p w:rsidR="00715B33" w:rsidRDefault="00FC5787">
            <w:pPr>
              <w:spacing w:after="0" w:line="36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დეკანი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-----------––––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პროფ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კინწურაშვილი</w:t>
            </w:r>
          </w:p>
          <w:p w:rsidR="00715B33" w:rsidRDefault="00715B33">
            <w:pPr>
              <w:spacing w:after="0" w:line="36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  <w:p w:rsidR="00715B33" w:rsidRDefault="00FC5787">
            <w:pPr>
              <w:spacing w:after="0" w:line="36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საბჭოს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სხდომის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</w:p>
          <w:p w:rsidR="00715B33" w:rsidRDefault="00FC5787">
            <w:pPr>
              <w:spacing w:after="0" w:line="36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ოქმი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№2. 08. 09. 2017</w:t>
            </w:r>
          </w:p>
        </w:tc>
      </w:tr>
    </w:tbl>
    <w:p w:rsidR="00715B33" w:rsidRDefault="00715B33">
      <w:pPr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</w:p>
    <w:p w:rsidR="00715B33" w:rsidRDefault="00FC5787">
      <w:pPr>
        <w:spacing w:after="0" w:line="240" w:lineRule="auto"/>
        <w:jc w:val="center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სამაგისტრო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პროგრამა</w:t>
      </w:r>
    </w:p>
    <w:p w:rsidR="00715B33" w:rsidRDefault="00FC5787">
      <w:pPr>
        <w:tabs>
          <w:tab w:val="left" w:pos="2619"/>
        </w:tabs>
        <w:spacing w:line="240" w:lineRule="auto"/>
        <w:jc w:val="center"/>
        <w:rPr>
          <w:rFonts w:ascii="Merriweather" w:eastAsia="Merriweather" w:hAnsi="Merriweather" w:cs="Merriweather"/>
          <w:b/>
          <w:sz w:val="40"/>
          <w:szCs w:val="40"/>
        </w:rPr>
      </w:pPr>
      <w:proofErr w:type="spellStart"/>
      <w:r>
        <w:rPr>
          <w:rFonts w:ascii="Arial Unicode MS" w:eastAsia="Arial Unicode MS" w:hAnsi="Arial Unicode MS" w:cs="Arial Unicode MS"/>
          <w:b/>
          <w:sz w:val="40"/>
          <w:szCs w:val="40"/>
        </w:rPr>
        <w:t>აგროეკოლოგია</w:t>
      </w:r>
      <w:proofErr w:type="spellEnd"/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Agroecology</w:t>
      </w:r>
      <w:proofErr w:type="spellEnd"/>
    </w:p>
    <w:p w:rsidR="00715B33" w:rsidRDefault="00715B33">
      <w:pPr>
        <w:tabs>
          <w:tab w:val="left" w:pos="3765"/>
        </w:tabs>
        <w:spacing w:after="0" w:line="240" w:lineRule="auto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715B33" w:rsidRDefault="00FC5787">
      <w:pPr>
        <w:tabs>
          <w:tab w:val="left" w:pos="3765"/>
        </w:tabs>
        <w:spacing w:after="0" w:line="240" w:lineRule="auto"/>
        <w:jc w:val="center"/>
        <w:rPr>
          <w:rFonts w:ascii="Merriweather" w:eastAsia="Merriweather" w:hAnsi="Merriweather" w:cs="Merriweather"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ხელმძღვანელი</w:t>
      </w:r>
      <w:r>
        <w:rPr>
          <w:rFonts w:ascii="Arial Unicode MS" w:eastAsia="Arial Unicode MS" w:hAnsi="Arial Unicode MS" w:cs="Arial Unicode MS"/>
          <w:b/>
        </w:rPr>
        <w:t>:</w:t>
      </w:r>
      <w:r>
        <w:rPr>
          <w:rFonts w:ascii="Arial Unicode MS" w:eastAsia="Arial Unicode MS" w:hAnsi="Arial Unicode MS" w:cs="Arial Unicode MS"/>
          <w:b/>
          <w:i/>
          <w:sz w:val="24"/>
          <w:szCs w:val="24"/>
        </w:rPr>
        <w:t>როზა</w:t>
      </w:r>
      <w:proofErr w:type="spellEnd"/>
      <w:r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sz w:val="24"/>
          <w:szCs w:val="24"/>
        </w:rPr>
        <w:t>ლორთქიფანიძე</w:t>
      </w:r>
    </w:p>
    <w:p w:rsidR="00715B33" w:rsidRDefault="00FC5787">
      <w:pPr>
        <w:spacing w:line="240" w:lineRule="auto"/>
        <w:ind w:left="1800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სოფლის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მეურნეობის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მეცნიერებათა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დოქტორი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პროფესორი</w:t>
      </w:r>
    </w:p>
    <w:p w:rsidR="00715B33" w:rsidRDefault="00FC5787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>599 23 64 79; 577 282 854;</w:t>
      </w:r>
    </w:p>
    <w:p w:rsidR="00715B33" w:rsidRDefault="00FC5787">
      <w:pPr>
        <w:spacing w:after="0" w:line="240" w:lineRule="auto"/>
        <w:jc w:val="center"/>
        <w:rPr>
          <w:color w:val="0070C0"/>
        </w:rPr>
      </w:pPr>
      <w:hyperlink r:id="rId8">
        <w:r>
          <w:rPr>
            <w:rFonts w:ascii="Times New Roman" w:eastAsia="Times New Roman" w:hAnsi="Times New Roman" w:cs="Times New Roman"/>
            <w:color w:val="0070C0"/>
            <w:u w:val="single"/>
          </w:rPr>
          <w:t>subtropikiroza@</w:t>
        </w:r>
      </w:hyperlink>
      <w:hyperlink r:id="rId9">
        <w:r>
          <w:rPr>
            <w:rFonts w:ascii="Merriweather" w:eastAsia="Merriweather" w:hAnsi="Merriweather" w:cs="Merriweather"/>
            <w:color w:val="0070C0"/>
            <w:u w:val="single"/>
          </w:rPr>
          <w:t>yahoo</w:t>
        </w:r>
      </w:hyperlink>
      <w:hyperlink r:id="rId10">
        <w:r>
          <w:rPr>
            <w:rFonts w:ascii="Times New Roman" w:eastAsia="Times New Roman" w:hAnsi="Times New Roman" w:cs="Times New Roman"/>
            <w:color w:val="0070C0"/>
            <w:u w:val="single"/>
          </w:rPr>
          <w:t>.com;roza</w:t>
        </w:r>
      </w:hyperlink>
      <w:r>
        <w:rPr>
          <w:rFonts w:ascii="Times New Roman" w:eastAsia="Times New Roman" w:hAnsi="Times New Roman" w:cs="Times New Roman"/>
          <w:color w:val="0070C0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70C0"/>
          <w:u w:val="single"/>
        </w:rPr>
        <w:t>lortkipanidze</w:t>
      </w:r>
      <w:proofErr w:type="spellEnd"/>
      <w:r>
        <w:rPr>
          <w:rFonts w:ascii="Times New Roman" w:eastAsia="Times New Roman" w:hAnsi="Times New Roman" w:cs="Times New Roman"/>
          <w:color w:val="0070C0"/>
          <w:u w:val="single"/>
        </w:rPr>
        <w:t xml:space="preserve"> @atsu.edu.ge</w:t>
      </w:r>
    </w:p>
    <w:p w:rsidR="00715B33" w:rsidRDefault="00715B33">
      <w:pPr>
        <w:rPr>
          <w:rFonts w:ascii="Merriweather" w:eastAsia="Merriweather" w:hAnsi="Merriweather" w:cs="Merriweather"/>
          <w:b/>
        </w:rPr>
      </w:pPr>
    </w:p>
    <w:p w:rsidR="00715B33" w:rsidRDefault="00715B33">
      <w:pPr>
        <w:rPr>
          <w:rFonts w:ascii="Merriweather" w:eastAsia="Merriweather" w:hAnsi="Merriweather" w:cs="Merriweather"/>
          <w:b/>
        </w:rPr>
      </w:pPr>
    </w:p>
    <w:p w:rsidR="00715B33" w:rsidRDefault="00715B33">
      <w:pPr>
        <w:rPr>
          <w:rFonts w:ascii="Merriweather" w:eastAsia="Merriweather" w:hAnsi="Merriweather" w:cs="Merriweather"/>
          <w:b/>
        </w:rPr>
      </w:pPr>
    </w:p>
    <w:p w:rsidR="00715B33" w:rsidRDefault="00715B33">
      <w:pPr>
        <w:rPr>
          <w:rFonts w:ascii="Merriweather" w:eastAsia="Merriweather" w:hAnsi="Merriweather" w:cs="Merriweather"/>
          <w:b/>
        </w:rPr>
      </w:pPr>
    </w:p>
    <w:p w:rsidR="00715B33" w:rsidRDefault="00715B33">
      <w:pPr>
        <w:rPr>
          <w:rFonts w:ascii="Merriweather" w:eastAsia="Merriweather" w:hAnsi="Merriweather" w:cs="Merriweather"/>
          <w:b/>
        </w:rPr>
      </w:pPr>
    </w:p>
    <w:p w:rsidR="00715B33" w:rsidRDefault="00715B33">
      <w:pPr>
        <w:rPr>
          <w:rFonts w:ascii="Merriweather" w:eastAsia="Merriweather" w:hAnsi="Merriweather" w:cs="Merriweather"/>
          <w:b/>
        </w:rPr>
      </w:pPr>
    </w:p>
    <w:p w:rsidR="00715B33" w:rsidRDefault="00715B33">
      <w:pPr>
        <w:rPr>
          <w:rFonts w:ascii="Merriweather" w:eastAsia="Merriweather" w:hAnsi="Merriweather" w:cs="Merriweather"/>
          <w:b/>
        </w:rPr>
      </w:pPr>
    </w:p>
    <w:p w:rsidR="00715B33" w:rsidRDefault="00FC5787">
      <w:pPr>
        <w:jc w:val="center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  <w:b/>
        </w:rPr>
        <w:t>ქუთაისი</w:t>
      </w:r>
    </w:p>
    <w:p w:rsidR="00715B33" w:rsidRDefault="00FC5787">
      <w:pPr>
        <w:jc w:val="center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2017</w:t>
      </w:r>
      <w:r>
        <w:rPr>
          <w:rFonts w:ascii="Arial Unicode MS" w:eastAsia="Arial Unicode MS" w:hAnsi="Arial Unicode MS" w:cs="Arial Unicode MS"/>
          <w:b/>
        </w:rPr>
        <w:t>წ</w:t>
      </w:r>
      <w:r>
        <w:rPr>
          <w:rFonts w:ascii="Arial Unicode MS" w:eastAsia="Arial Unicode MS" w:hAnsi="Arial Unicode MS" w:cs="Arial Unicode MS"/>
          <w:b/>
        </w:rPr>
        <w:t>.</w:t>
      </w:r>
    </w:p>
    <w:p w:rsidR="00715B33" w:rsidRDefault="00715B33">
      <w:pPr>
        <w:jc w:val="center"/>
        <w:rPr>
          <w:rFonts w:ascii="Merriweather" w:eastAsia="Merriweather" w:hAnsi="Merriweather" w:cs="Merriweather"/>
          <w:b/>
        </w:rPr>
      </w:pPr>
    </w:p>
    <w:tbl>
      <w:tblPr>
        <w:tblStyle w:val="a0"/>
        <w:tblW w:w="1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4"/>
      </w:tblGrid>
      <w:tr w:rsidR="00715B33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აგროეკოლოგია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Agroecology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</w:p>
        </w:tc>
      </w:tr>
      <w:tr w:rsidR="00715B33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მისანიჭებელი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ხარისხი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აგრარულ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მაგისტრი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აგროეკოლოგიაში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–     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Master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of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agrarian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science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Agroecology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</w:p>
        </w:tc>
      </w:tr>
      <w:tr w:rsidR="00715B33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ფაკულტეტი</w:t>
            </w:r>
          </w:p>
        </w:tc>
      </w:tr>
      <w:tr w:rsidR="00715B33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ხელმძღვანელი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ხელმძღვანელები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როზა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ლორთქიფანიძე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დოქტორი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სამსახურის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ტელეფონი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 (0431) 27 77 66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მობილური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ტელეფონი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 599 23 64 79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ელექტრონული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ფოსტა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–subtropikiroza@yahoo.com</w:t>
            </w:r>
          </w:p>
        </w:tc>
      </w:tr>
      <w:tr w:rsidR="00715B33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ხანგრძლივობა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მოცულობა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სემესტრი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კრედიტების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რაოდენობა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ხანგრძლივობაა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(4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სემესტრი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-120 ECTS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კრედიტი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(3000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).</w:t>
            </w:r>
          </w:p>
        </w:tc>
      </w:tr>
      <w:tr w:rsidR="00715B33">
        <w:tc>
          <w:tcPr>
            <w:tcW w:w="458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ქართული</w:t>
            </w:r>
          </w:p>
        </w:tc>
      </w:tr>
      <w:tr w:rsidR="00715B33">
        <w:tc>
          <w:tcPr>
            <w:tcW w:w="458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შემუშავებისა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განახლების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თარიღები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</w:tc>
        <w:tc>
          <w:tcPr>
            <w:tcW w:w="672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შემუშავდა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2011-2012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წელს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აკრედიტაცია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გაიარა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19.04.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№82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პროგრამაზე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დაშვების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წინაპირობები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მოთხოვნები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ind w:left="7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შეიძლება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გახდეს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ბაკალავრის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წინასწარ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რეგისტრაციას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ეროვნული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ცენტრში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აბარებს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საკონკურსო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საგამოცდო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მოცულობით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).</w:t>
            </w:r>
          </w:p>
          <w:p w:rsidR="00715B33" w:rsidRDefault="00FC5787">
            <w:pPr>
              <w:spacing w:after="0" w:line="240" w:lineRule="auto"/>
              <w:ind w:left="74" w:firstLine="18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მისაღები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წესები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აკაკი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წერეთლის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კერძოდ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აბარებს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სპეციალობაში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მიზნები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მოამზადოს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აგრარულ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მეცნიერებათა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მაგისტრი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აგროეკოლოგიაში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აღწერს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გამოიყენებს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სუბტროპიკულ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ზონაში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პირობებს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იკვლევს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ნიადაგების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ნაყოფიერების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განსაზღვრავს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ეროზირებული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მელიორირებული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მიწების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ასათვისებლად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კონკურენტუნარ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იანი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ხერხებს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იყენებს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მიწათმოქმედების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მაღალრენტაბელურ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სისტემებსა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მცენარეთა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საშუალებებსხარისხიანი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უხვი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მოსავლის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მოვლა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მოყვანის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მეთოდებს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შედეგები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(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რუქა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ახლავს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2)</w:t>
            </w:r>
          </w:p>
        </w:tc>
      </w:tr>
      <w:tr w:rsidR="00715B33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გაცნობიერება</w:t>
            </w:r>
          </w:p>
          <w:p w:rsidR="00715B33" w:rsidRDefault="00715B3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გაცნობიერება</w:t>
            </w:r>
          </w:p>
          <w:p w:rsidR="00715B33" w:rsidRDefault="00FC5787">
            <w:pPr>
              <w:spacing w:after="0" w:line="240" w:lineRule="auto"/>
              <w:ind w:right="-185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შესწავლილი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ტენიანი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მშრალი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სუბტროპიკების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დახასიათება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გადამამუშავებელი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საწარმოებისა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სასურსათო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პროდუქციის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წარმოების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ასპექტები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განიხილავს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ეკოლოგიურად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სუფთა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პროდუქციის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წარმოების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პრობლემებს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ენერგეტიკული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რესურსების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ციპები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გაცნობიერებული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განათლების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მნიშვნელობა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ცივილიზაციისათვის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აღწერს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თითოეულს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ცალ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ცალკე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აცნობიერებს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მინდვრის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ცდის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მეთოდებს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მასზე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წაყენებულ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მოთხოვნებს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ჩამოაყალიბებს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მინდვრის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ცდი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სქემებს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მიწების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ასათვისებელი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სარწყავი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დამშრობი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სისტემების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ნიადაგთმცოდნეობას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ნიადაგთმცოდნეობის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დამოუკიდებელ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ნაწილს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გამოკვეთავს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გენეზისის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გეოგრაფი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გავრცელებას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აღწერს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ნიადაგისთვისებას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ნაყოფიერებას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განმარტავს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ნაყოფიერების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მნიშვნელობას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მიწათმოქმედებაში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; </w:t>
            </w:r>
          </w:p>
          <w:p w:rsidR="00715B33" w:rsidRDefault="00FC5787">
            <w:pPr>
              <w:spacing w:after="0" w:line="240" w:lineRule="auto"/>
              <w:ind w:right="-187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ჩამოთვლის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დაახასიათებს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სამელიორაციო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ფართობებს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განმარტავს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მელიორაციულ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აგროეკონომიკურ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დამოკიდებულებას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ind w:right="-187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სჯელობს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სასუქების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აუცილებლობაზე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მეურნეობაში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განიხილავს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სასუქების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ეფექტურობას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განსაზღვრავს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სასუქების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მოქმედებას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მოსავლის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რაოდენობასა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ხარისხზე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;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კულტურებში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გამოყენებული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ბიოენერგოაქტივატო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რები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გაცნობიერებული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თესლის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გაღივების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ენერგიასა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აღმოცენების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უნარზე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ნამყენი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ნერგის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აღმოცენებასა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ზრდა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განვითარებაზე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;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კულტურების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მავნე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მწერების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აღწერა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სახეობრივი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დასახელება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სპეციალიზაც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გამორჩევა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სასარგებლო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მწერებისაგან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მწერების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გამრავლების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სახეები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ურთიერთობა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გარემოსთან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უმაღლეს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აღმზრდელობითი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განათლების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მენეჯმენტის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მართვის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გაცნობიერებული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უმაღლესი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დიდაქტიკის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კომპლექსური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ცნებები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/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ლექტორის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უმაღლესი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მასწავლებლის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მახასიათებლები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მეცადინეობების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მიმართულებით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პრაქტიკაში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პრაქტიკაშ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დააჯგუფოს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მათგან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პროდუქციის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აგროტექნოლოგიური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გატარება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ცალკეული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ერთმანეთისგან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განასხვავოს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სუფთა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ბიოლოგიურად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სრულფასოვანი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პროდუქცია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შეუწყოს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სუფთა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აგროსამრეწველო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პროდუქციის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აგროსამრეწველო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გაუვნებელყოფა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ქიმიური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განახორციელოს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სამრეწველო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აირებისაგან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გამოყოფსმცენარეთა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ტიპებს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მაფორმირებელი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კლიმატის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მახასიათებლები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შეადგენს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მინდვრის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სქემებს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განალაგებს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ცდაში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ვარიანტებსა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განმეორებებს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გააფორმებს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დოკუმენტაციას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მიწების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ათვისება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სარწყავი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დამშრობი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სისტემების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მოწყობა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ეროზიის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ბრძოლის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კომპლექსური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ახსნის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სასიცოცხლო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რცეს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მექანიკურ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საყრდენს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თესლის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შემნახველს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წყლისა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საკვები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ნივთიერებების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შემნახველს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გამოიყენებს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დაშრობისა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რწყვის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სარწყავი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ნორმების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ხერხებს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შეიმუშავებს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მოსავლიანობის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გაზრდის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ind w:right="-185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ნაყო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ფიერების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ამაღლებისა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გაკულტურების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გზები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შერჩევა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მცენარისათვის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ხელსაყრელი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შესაქმნელად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დაგეგმოს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სასუქების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შეტანის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ვადები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წესები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დოზები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დაავადებული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მცენარიდან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ნიმუშების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საანალიზოდ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მომზადება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სუფთა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კულტურაში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ჩ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ათესვა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გამოკვლევა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 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ტერიტორიებზე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მიმდინარე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შემუშავება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მეცადინეობებისს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მიმართულებით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ასაკობრივი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ინდივიდუალური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ავისებურებების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დასკვნის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  <w:p w:rsidR="00715B33" w:rsidRDefault="00715B3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დასკვნის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  <w:p w:rsidR="00715B33" w:rsidRDefault="00FC5787">
            <w:pPr>
              <w:spacing w:after="0" w:line="240" w:lineRule="auto"/>
              <w:ind w:right="-185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შეაფასოს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ტენიანი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მშრალი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ოროგრაფიული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აგროკლიმატური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მაჩვენებლები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გამოკვეთის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გაანალიზოს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მიიღოს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შეუწყოს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სუფთა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აგროსამრეწველო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პროდუქციის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გადამამუშავებელი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მრეწველობის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შეაფასებს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სამელიორაციო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მიწების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ათვისების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დონეს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ფერმერულ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მოამზადებს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მარცვლეულის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მევენახეობის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მეციტრუსეობის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მოვლა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მოყვანის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გასატარებლად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არი</w:t>
            </w:r>
          </w:p>
        </w:tc>
        <w:tc>
          <w:tcPr>
            <w:tcW w:w="805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  <w:p w:rsidR="00715B33" w:rsidRDefault="00FC5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ცალკეული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მიმართულების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კულტურების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თავისი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მოსაზრებების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საუბარი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მსჯელობა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კოლეგებთან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პროფესიონალებთან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აკადემიურ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საზოგადოებასთან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უხელმძღვანელოს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მონიტორინგის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განახორციელოს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მონიტორინგის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სუბიექტებთან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მშობლიურ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იკამათოს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იმსჯელოს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დისკუსიაში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შევიდეს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ნებისმიერ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დაინტერესებულ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ირთან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დარგის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განუვითარდებათ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პრეზენტაციისა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მოსაზრებების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აუდიტორიის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წინაშე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გაუძლიერდებათ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წერილობით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მოსაზრებების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გადმოცემის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ტერიტორიებზე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მიმდინარე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შემუშავება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325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  <w:p w:rsidR="00715B33" w:rsidRDefault="00FC5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დამოუკიდებლად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ჩართვა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მაქსიმალურად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ნაყოფიერად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წარმართვა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გაგრძელების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შეწყვეტის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აუცილებლობის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განსაზღვრის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დასაბუთება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მუშაობსახალი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მიღებისთვის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დამოუკიდებლად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უწყვეტი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უნველყოფისა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სტიმულირებისათვის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ინტერესს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სურვილს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პედაგოგიური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მოღვაწეობისთვის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საჭირო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ჩვევების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გამომუშავებისათვის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ind w:right="-2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შინაარსით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ათვისებისთვის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მაგისტრანტს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განუვითაროს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მისცეს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შემდგომი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საჭიროება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შეძლებს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თეორიული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ნაწილის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შეჯამებას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დაკვნის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გაკეთებას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შემდგომ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საფეხურზე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აგრძელების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მიზნით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ღირებულებები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გააჩნია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მაღალმოქალაქეობრივი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ღირებულებები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სურსათის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უვნებლობის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ახორციელებს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ასაცილებლად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ბიოსფეროში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მიმდინარე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საქმეში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ელმძღვანელობს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მწვანე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ნარგავების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შეუცვლელობის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ind w:right="-2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მსჯელობს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დაგეგმილი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მელიორაციული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აფასებს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ნაყოფიერების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აღდგენის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ბრუნვაში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მელიორირებული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დაბრუნ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შესთავაზებს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დაავადებებისა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მავნებლების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წინააღმდეგ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ბრძოლის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ღონისძიებების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ალტერნატივებს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პასუხისმგებლობით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ეკიდება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დამახასიათებელ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ღირებულებას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ცვალებად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მოქმედებს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დისციპლინირ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პუნქტუალური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მიდგომა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დაკისრებული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მოვალეობისადმი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გათავისებული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ფუნქციები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პასუხისმგებლობა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მარტივი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ფინანსური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ხარჯთაღრიცხვის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სწავლების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მეთოდები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ind w:firstLine="48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მიღწევისათვის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გამოიყენება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როგორიცაა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ევრისტიკული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ახსნა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განმარტებითი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სინთეზის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დისკუსია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დებატები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დემონსტრირების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ვერბალური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გონებრივი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იერიში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დაფუძნებული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(PBL),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თანამშრომლობითი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ინდუქციური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დედუქციური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 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სტრუქტურა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თავისებურებები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715B33" w:rsidRDefault="00FC5787">
            <w:pPr>
              <w:spacing w:after="0" w:line="240" w:lineRule="auto"/>
              <w:ind w:firstLine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ხანგრძლივობაა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(4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სემესტრი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).</w:t>
            </w:r>
          </w:p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გეგმით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გათვალისწინებულია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სპეციალობის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სავალდებულო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არჩევითი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კურსების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ათვისება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პრაქტიკა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ექსპერიმენტული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კვლევების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ჩატარება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კვლევის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შედეგებზე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მომზადება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გაფორმება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დაცვა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მომზადება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გაფორმებისა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კრედიტით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” 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გაფორმება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მოხდება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”–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სილაბუსისა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აწსუ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საბჭოს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2011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ივნისის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დადგენილებით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N112 (10/11)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დამტკიცებული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შემუშავების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გზამკვლევი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“–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მიხედვით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გეგმა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!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1.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კრიტერიუმები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მიღწევების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განათლებისა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მეცნიერების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2007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იანვრის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>№3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2016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18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აგვისტოს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№102/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ბრძანებებით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პუნქტების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აკაკი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წერეთლს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შეიცვალა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№45 (16/17)  30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ივნისი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2017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),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საერთო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(100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ხვედრითი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შეადგენს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ჯამურად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60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მოიცავს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აქტივობა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სემესტრის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30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30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ხოლო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ამრიგად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ფასდება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შემდეგი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715B33" w:rsidRDefault="00FC578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აქტივობა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სემესტრის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მოიცავს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კომპონენტებს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)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30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;    </w:t>
            </w:r>
          </w:p>
          <w:p w:rsidR="00715B33" w:rsidRDefault="00FC5787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შუალედური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- 30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  <w:p w:rsidR="00715B33" w:rsidRDefault="00FC5787">
            <w:pPr>
              <w:spacing w:after="0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- 40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</w:t>
            </w:r>
          </w:p>
          <w:p w:rsidR="00715B33" w:rsidRDefault="00FC5787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გასვლის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მინიმალური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კომპეტენციის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ზღვარი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ჯამურად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შეადგენს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არანაკლებ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18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ab/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უშვებს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ხუთი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დადებით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(A)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ფრიადი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91-100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B)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ძალიან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კარგი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81-90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კარგი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71-80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(D)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დამაკმაყოფილებელი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61-70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ე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(E)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51-60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715B3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უარყოფით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(FX)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ვერ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ჩააბარა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41-50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ჩასაბარებლად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სჭირდება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დამოუკიდებელი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ერთხელ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გასვლის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(F)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ჩაიჭრა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ნაკლები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ახლიდან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შესასწავლი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ind w:right="98"/>
              <w:jc w:val="both"/>
              <w:rPr>
                <w:rFonts w:ascii="Merriweather" w:eastAsia="Merriweather" w:hAnsi="Merriweather" w:cs="Merriweather"/>
                <w:color w:val="222222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FX-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დაინიშნება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გამოცხადებიდან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არანაკლებ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დღეში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ვალდებულება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ვრცელდება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დისერტაციის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შემოქმედებითი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საშემსრულებლო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ნამუშევრის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მიმართ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).</w:t>
            </w:r>
          </w:p>
          <w:p w:rsidR="00715B33" w:rsidRDefault="00FC57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მინიმალური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ზღვარი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განისაზღვრება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 15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ქულით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 </w:t>
            </w:r>
          </w:p>
          <w:p w:rsidR="00715B33" w:rsidRDefault="00FC57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ემატება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ქულათა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რაოდენობა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</w:p>
          <w:p w:rsidR="00715B33" w:rsidRDefault="00FC57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აისახება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საბოლოო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</w:p>
          <w:p w:rsidR="00715B33" w:rsidRDefault="00FC57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საბოლოო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0-50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ქულის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უფორმდება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F-0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 xml:space="preserve">: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ფორმალიზებული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ესით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ცალკეულ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კრიტერიუმები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სილაბუსით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დასაქმების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სფეროები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ind w:firstLine="567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მაგისტრის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დასაქმება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შესაძლებელია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ფერმერულ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მეურნეობებში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სურსათის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ბუნებრივი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რესურსების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სტრუქტურებში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კერძო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საწარმოებში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სამეცნიერო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დაწესებულებებში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კოლეჯებში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უმაღლეს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სასწავლებლებში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მიმართულე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არასამთავრობო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საერთაშორისო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აგროეკოლოგიურ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715B33"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სწავლისათვის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აუცილებელი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დამხმარე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პირობები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რესურსები</w:t>
            </w:r>
          </w:p>
        </w:tc>
      </w:tr>
      <w:tr w:rsidR="00715B33">
        <w:trPr>
          <w:trHeight w:val="4480"/>
        </w:trPr>
        <w:tc>
          <w:tcPr>
            <w:tcW w:w="11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B33" w:rsidRDefault="00FC5787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განხორციელების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მატერიალურ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ბაზის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აღწერა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:</w:t>
            </w:r>
          </w:p>
          <w:p w:rsidR="00715B33" w:rsidRDefault="00FC5787">
            <w:pPr>
              <w:tabs>
                <w:tab w:val="left" w:pos="720"/>
              </w:tabs>
              <w:spacing w:after="0" w:line="240" w:lineRule="auto"/>
              <w:ind w:firstLine="540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მატერიალური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რესურსი</w:t>
            </w:r>
          </w:p>
          <w:p w:rsidR="00715B33" w:rsidRDefault="00FC5787">
            <w:pPr>
              <w:tabs>
                <w:tab w:val="left" w:pos="7140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მიღწევას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ინფრასტრუქტურა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აღჭურვილობა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განხორციელებას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ემსახურება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აუდიტორიები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ნიადაგთმცოდნეობის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მელიორაციისა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გროეკოლოგიის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მონიტორინგის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მიწათმოქმედებისა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აგროქიმიის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მცენარეთა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აგრარულ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მიმართულებათა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ცენტრი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Merriweather" w:eastAsia="Merriweather" w:hAnsi="Merriweather" w:cs="Merriweather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ნოსირის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სასსწავლო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საცდელი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ჩვეულებრივი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ელექტრონული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ბიბლიოთეკა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საინფორმ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საკომუნიკაციო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კომპიუტერების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ადექვატურია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გაფორმებულია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ხელშეკრულებები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715B33">
            <w:pPr>
              <w:spacing w:after="0" w:line="240" w:lineRule="auto"/>
              <w:ind w:firstLine="567"/>
              <w:jc w:val="both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</w:p>
          <w:p w:rsidR="00715B33" w:rsidRDefault="00FC5787">
            <w:pPr>
              <w:spacing w:after="0" w:line="240" w:lineRule="auto"/>
              <w:ind w:firstLine="360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ადამიანური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რესურსი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715B33" w:rsidRDefault="00FC5787">
            <w:pPr>
              <w:spacing w:after="0" w:line="240" w:lineRule="auto"/>
              <w:ind w:firstLine="36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მაგისტრის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მომზადების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უზრუნველყოფილია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ღალკვალიფიციური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პედაგოგიური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კადრებით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დისციპლინებს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უძღვებიან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პროფილის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ხარისხის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4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9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ასოცირებული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1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ასისტენტ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6</w:t>
            </w:r>
            <w:r>
              <w:rPr>
                <w:rFonts w:ascii="Merriweather" w:eastAsia="Merriweather" w:hAnsi="Merriweather" w:cs="Merriweather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მოწვეული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სპეციალისტი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რომელთაც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აქვთ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პედაგოგიური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პარალელურად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ეწევიან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715B33" w:rsidRDefault="00FC5787">
            <w:pPr>
              <w:tabs>
                <w:tab w:val="left" w:pos="7140"/>
              </w:tabs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პერსონალი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</w:t>
            </w:r>
          </w:p>
          <w:p w:rsidR="00715B33" w:rsidRDefault="00715B33">
            <w:pPr>
              <w:spacing w:after="0" w:line="240" w:lineRule="auto"/>
              <w:ind w:right="-221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tbl>
            <w:tblPr>
              <w:tblStyle w:val="a1"/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985"/>
              <w:gridCol w:w="2481"/>
              <w:gridCol w:w="1680"/>
              <w:gridCol w:w="4060"/>
            </w:tblGrid>
            <w:tr w:rsidR="00715B33">
              <w:trPr>
                <w:trHeight w:val="900"/>
              </w:trPr>
              <w:tc>
                <w:tcPr>
                  <w:tcW w:w="562" w:type="dxa"/>
                </w:tcPr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Nova Mono" w:eastAsia="Nova Mono" w:hAnsi="Nova Mono" w:cs="Nova Mono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85" w:type="dxa"/>
                </w:tcPr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ადამიანური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რესურსი</w:t>
                  </w:r>
                </w:p>
              </w:tc>
              <w:tc>
                <w:tcPr>
                  <w:tcW w:w="2481" w:type="dxa"/>
                </w:tcPr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ხარისხი</w:t>
                  </w:r>
                </w:p>
              </w:tc>
              <w:tc>
                <w:tcPr>
                  <w:tcW w:w="1680" w:type="dxa"/>
                </w:tcPr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დაკავებული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თანამდებობა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სასწავლო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გეგმით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გათვალისწინებული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განსახორციელებელი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კურსები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როზა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ლორთქიფანიძე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გამოყენებითი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ეკოლოგია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ჰიდროეკოლოგია</w:t>
                  </w:r>
                  <w:proofErr w:type="spellEnd"/>
                  <w:r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პროფესიული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სამაგისტრო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ნაშრომი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აგროეკოლოგიაში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როლანდ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კოპალიანი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ind w:hanging="18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სუბტროპიკული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მეჩაიეობის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განვითარების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საფუძვლები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ვახტანგ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ქობალია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მცენარეთა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ბიოტექნოლოგია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სუბტროპიკული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კულტურების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სელექცია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ქეთევან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კინწურაშვილი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აგროსამრეწველო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პროდუქციის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წარმოების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ეკოლოგიური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პრობლემები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რამაზკილაძე</w:t>
                  </w:r>
                  <w:proofErr w:type="spellEnd"/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საქართველოს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დაცული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ტერიტორიები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ბაღ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პარკები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ნუნუ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ჩაჩხიანი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ანასაშვილი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მცენარეთა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დაცვა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ბიოსტიმულატორები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მეურნეობაში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lastRenderedPageBreak/>
                    <w:t>მცენარეთა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კარანტინი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პროფესიული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სამაგისტრო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ნაშრომი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აგროეკოლოგიაში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rPr>
                <w:trHeight w:val="300"/>
              </w:trPr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ემზარ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კილასონია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ind w:hanging="32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ენერგოდამზოგი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ტექნოლოგიები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აგროეკოლოგიაში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ტრისტან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ჯობავა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ბიოსტიმულატორები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მეურნეობაში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კოპალიანი</w:t>
                  </w:r>
                </w:p>
              </w:tc>
              <w:tc>
                <w:tcPr>
                  <w:tcW w:w="2481" w:type="dxa"/>
                  <w:vAlign w:val="center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  <w:vAlign w:val="center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აგროეკოლოგიის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აქტუალური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პრობლემები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ტყის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კულტურები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ნინო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კელენჯერიძე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სამეცნიერო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კვლევითი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მუშაობის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მეთოდები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აგროეკოლოგიაში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ინტენსიური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მიწათმოქმედება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ჰიდროეკოლოგია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ქიმიზაცია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გარემო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rPr>
                <w:trHeight w:val="380"/>
              </w:trPr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ყუბანეიშვილი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მცენარეთა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დაცვა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ნატო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დვალი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პედაგოგიკის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პედაგოგიკა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ნინო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ყიფიანი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მცენარეთა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ბიოტექნოლოგია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სუბტროპიკული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კულტურების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სელექცია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ქეთევან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ქუთელია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ასისტენტ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საქართველოს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დაცული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ტერიტორიები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ბაღ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პარკები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ნელი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კელენჯერიძე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სამეცნიერო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კვლევითი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მუშაობის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მეთოდები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აგროეკოლოგიაში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ინტენსიური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მიწათმოქმედება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ქიმიზაცია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გარემო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ალექსანდრე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ჩაფიჩაძე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ბიოსტიმულატორები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მეურნეობაში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დაშნიანი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თეა</w:t>
                  </w:r>
                </w:p>
              </w:tc>
              <w:tc>
                <w:tcPr>
                  <w:tcW w:w="2481" w:type="dxa"/>
                </w:tcPr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დარგობრივი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რუსული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ალავიძე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მაია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680" w:type="dxa"/>
                </w:tcPr>
                <w:p w:rsidR="00715B33" w:rsidRDefault="00715B33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დარგობრივი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ინგლისური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  <w:t>19</w:t>
                  </w:r>
                </w:p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ხვედელიძე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ქეთევანი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1" w:type="dxa"/>
                </w:tcPr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მასწავლებელი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დარგობრივი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ფრანგული</w:t>
                  </w:r>
                </w:p>
              </w:tc>
            </w:tr>
            <w:tr w:rsidR="00715B33">
              <w:tc>
                <w:tcPr>
                  <w:tcW w:w="562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985" w:type="dxa"/>
                </w:tcPr>
                <w:p w:rsidR="00715B33" w:rsidRDefault="00FC5787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ირემაძე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მაია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1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ფილოლოგი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</w:tcPr>
                <w:p w:rsidR="00715B33" w:rsidRDefault="00FC5787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მასწავლებელი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60" w:type="dxa"/>
                </w:tcPr>
                <w:p w:rsidR="00715B33" w:rsidRDefault="00FC5787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დარგობრივი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გერმანული</w:t>
                  </w:r>
                </w:p>
                <w:p w:rsidR="00715B33" w:rsidRDefault="00715B33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15B33" w:rsidRDefault="00715B3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</w:tr>
      <w:tr w:rsidR="00715B33"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15B33" w:rsidRDefault="00715B3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u w:val="single"/>
              </w:rPr>
            </w:pPr>
          </w:p>
        </w:tc>
      </w:tr>
    </w:tbl>
    <w:p w:rsidR="00715B33" w:rsidRDefault="00715B33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715B33" w:rsidRDefault="00715B33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715B33" w:rsidRDefault="00715B33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715B33" w:rsidRDefault="00715B33">
      <w:pPr>
        <w:spacing w:after="0" w:line="240" w:lineRule="auto"/>
        <w:jc w:val="center"/>
        <w:rPr>
          <w:rFonts w:ascii="Merriweather" w:eastAsia="Merriweather" w:hAnsi="Merriweather" w:cs="Merriweather"/>
          <w:b/>
        </w:rPr>
        <w:sectPr w:rsidR="00715B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0" w:right="1701" w:bottom="0" w:left="426" w:header="720" w:footer="720" w:gutter="0"/>
          <w:pgNumType w:start="1"/>
          <w:cols w:space="720"/>
        </w:sectPr>
      </w:pPr>
    </w:p>
    <w:p w:rsidR="00715B33" w:rsidRDefault="00715B33">
      <w:pPr>
        <w:spacing w:after="0" w:line="240" w:lineRule="auto"/>
        <w:jc w:val="center"/>
        <w:rPr>
          <w:rFonts w:ascii="Merriweather" w:eastAsia="Merriweather" w:hAnsi="Merriweather" w:cs="Merriweather"/>
          <w:b/>
        </w:rPr>
      </w:pPr>
    </w:p>
    <w:p w:rsidR="00715B33" w:rsidRDefault="00715B33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715B33" w:rsidRDefault="00FC5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b/>
        </w:rPr>
        <w:sectPr w:rsidR="00715B33">
          <w:type w:val="continuous"/>
          <w:pgSz w:w="12240" w:h="15840"/>
          <w:pgMar w:top="0" w:right="1701" w:bottom="0" w:left="426" w:header="720" w:footer="720" w:gutter="0"/>
          <w:cols w:space="720"/>
        </w:sectPr>
      </w:pPr>
      <w:r>
        <w:br w:type="page"/>
      </w:r>
    </w:p>
    <w:p w:rsidR="00715B33" w:rsidRDefault="00FC5787">
      <w:pPr>
        <w:spacing w:after="0" w:line="240" w:lineRule="auto"/>
        <w:jc w:val="right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დანართი</w:t>
      </w:r>
      <w:bookmarkStart w:id="1" w:name="_GoBack"/>
      <w:bookmarkEnd w:id="1"/>
      <w:r>
        <w:rPr>
          <w:rFonts w:ascii="Arial Unicode MS" w:eastAsia="Arial Unicode MS" w:hAnsi="Arial Unicode MS" w:cs="Arial Unicode MS"/>
          <w:b/>
        </w:rPr>
        <w:t xml:space="preserve"> 2</w:t>
      </w:r>
    </w:p>
    <w:p w:rsidR="00715B33" w:rsidRDefault="00715B33">
      <w:pPr>
        <w:spacing w:after="0" w:line="240" w:lineRule="auto"/>
        <w:jc w:val="right"/>
        <w:rPr>
          <w:rFonts w:ascii="Merriweather" w:eastAsia="Merriweather" w:hAnsi="Merriweather" w:cs="Merriweather"/>
          <w:b/>
        </w:rPr>
      </w:pPr>
    </w:p>
    <w:tbl>
      <w:tblPr>
        <w:tblStyle w:val="a3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402"/>
        <w:gridCol w:w="1016"/>
        <w:gridCol w:w="1019"/>
        <w:gridCol w:w="1165"/>
        <w:gridCol w:w="1082"/>
        <w:gridCol w:w="1056"/>
        <w:gridCol w:w="1324"/>
      </w:tblGrid>
      <w:tr w:rsidR="00715B33">
        <w:trPr>
          <w:trHeight w:val="26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right="102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Nova Mono" w:eastAsia="Nova Mono" w:hAnsi="Nova Mono" w:cs="Nova Mono"/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დასახელება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კომპეტენციები</w:t>
            </w:r>
          </w:p>
        </w:tc>
      </w:tr>
      <w:tr w:rsidR="00715B33">
        <w:trPr>
          <w:trHeight w:val="182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გაცნობიერება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პრაქტიკაში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დასკვნის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გაკეთების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ღირებულებები</w:t>
            </w:r>
          </w:p>
        </w:tc>
      </w:tr>
      <w:tr w:rsidR="00715B33">
        <w:trPr>
          <w:trHeight w:val="200"/>
        </w:trPr>
        <w:tc>
          <w:tcPr>
            <w:tcW w:w="1116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top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აგროსამრეწველო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პროდუქციის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აქტუალური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  <w:vAlign w:val="center"/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82" w:type="dxa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6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აგროეკოლოგიაში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ენერგოდამზოგი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აგროეკოლოგიაში</w:t>
            </w:r>
            <w:proofErr w:type="spellEnd"/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30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პედაგოგიკა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C00000"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ინტენსიური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მიწათმოქმედება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ჰიდროეკოლოგია</w:t>
            </w:r>
            <w:proofErr w:type="spellEnd"/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ქიმიზაცია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მცენარეთა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ბიოტექნოლოგია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მცენარეთა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ბიოსტიმულიატორები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მეურნეობაში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ტერიტორიები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ბაღ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პარკები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15</w:t>
            </w:r>
          </w:p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ინგლისური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ფრანგული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გერმანული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715B33">
        <w:trPr>
          <w:trHeight w:val="2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რუსული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lastRenderedPageBreak/>
              <w:t>16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ტყის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კულტურები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მეჩაიეობის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საფუძვლები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715B3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მცენარეთა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კარანტინი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715B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სელექცია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პრაქტიკა</w:t>
            </w:r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  <w:tr w:rsidR="00715B33">
        <w:trPr>
          <w:trHeight w:val="28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სამაგისტრო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ნაშრომიაგროეკოლოგიაში</w:t>
            </w:r>
            <w:proofErr w:type="spellEnd"/>
          </w:p>
        </w:tc>
        <w:tc>
          <w:tcPr>
            <w:tcW w:w="1016" w:type="dxa"/>
            <w:tcBorders>
              <w:left w:val="single" w:sz="4" w:space="0" w:color="000000"/>
            </w:tcBorders>
            <w:vAlign w:val="center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19" w:type="dxa"/>
          </w:tcPr>
          <w:p w:rsidR="00715B33" w:rsidRDefault="00FC57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165" w:type="dxa"/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82" w:type="dxa"/>
          </w:tcPr>
          <w:p w:rsidR="00715B33" w:rsidRDefault="00FC5787">
            <w:pPr>
              <w:spacing w:after="0" w:line="240" w:lineRule="auto"/>
              <w:ind w:left="36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715B33" w:rsidRDefault="00FC5787">
            <w:pPr>
              <w:spacing w:after="0" w:line="240" w:lineRule="auto"/>
            </w:pPr>
            <w:r>
              <w:rPr>
                <w:rFonts w:ascii="Merriweather" w:eastAsia="Merriweather" w:hAnsi="Merriweather" w:cs="Merriweather"/>
                <w:b/>
              </w:rPr>
              <w:t>×</w:t>
            </w:r>
          </w:p>
        </w:tc>
      </w:tr>
    </w:tbl>
    <w:p w:rsidR="00715B33" w:rsidRDefault="00715B33">
      <w:pPr>
        <w:spacing w:after="0" w:line="240" w:lineRule="auto"/>
        <w:rPr>
          <w:rFonts w:ascii="Merriweather" w:eastAsia="Merriweather" w:hAnsi="Merriweather" w:cs="Merriweather"/>
          <w:b/>
        </w:rPr>
      </w:pPr>
    </w:p>
    <w:sectPr w:rsidR="00715B33"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87" w:rsidRDefault="00FC5787">
      <w:pPr>
        <w:spacing w:after="0" w:line="240" w:lineRule="auto"/>
      </w:pPr>
      <w:r>
        <w:separator/>
      </w:r>
    </w:p>
  </w:endnote>
  <w:endnote w:type="continuationSeparator" w:id="0">
    <w:p w:rsidR="00FC5787" w:rsidRDefault="00FC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ov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33" w:rsidRDefault="00FC578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15B33" w:rsidRDefault="00715B3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33" w:rsidRDefault="00FC578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C3559">
      <w:rPr>
        <w:color w:val="000000"/>
      </w:rPr>
      <w:fldChar w:fldCharType="separate"/>
    </w:r>
    <w:r w:rsidR="005C3559">
      <w:rPr>
        <w:noProof/>
        <w:color w:val="000000"/>
      </w:rPr>
      <w:t>1</w:t>
    </w:r>
    <w:r>
      <w:rPr>
        <w:color w:val="000000"/>
      </w:rPr>
      <w:fldChar w:fldCharType="end"/>
    </w:r>
  </w:p>
  <w:p w:rsidR="00715B33" w:rsidRDefault="00715B3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33" w:rsidRDefault="00715B3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87" w:rsidRDefault="00FC5787">
      <w:pPr>
        <w:spacing w:after="0" w:line="240" w:lineRule="auto"/>
      </w:pPr>
      <w:r>
        <w:separator/>
      </w:r>
    </w:p>
  </w:footnote>
  <w:footnote w:type="continuationSeparator" w:id="0">
    <w:p w:rsidR="00FC5787" w:rsidRDefault="00FC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33" w:rsidRDefault="00715B3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33" w:rsidRDefault="00715B3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33" w:rsidRDefault="00715B3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D291E"/>
    <w:multiLevelType w:val="multilevel"/>
    <w:tmpl w:val="2C065F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B33"/>
    <w:rsid w:val="005C3559"/>
    <w:rsid w:val="00715B33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22DF4-4D61-41E5-88CF-FB640A48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2893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Goga Gorelishvili</cp:lastModifiedBy>
  <cp:revision>2</cp:revision>
  <dcterms:created xsi:type="dcterms:W3CDTF">2018-07-07T10:02:00Z</dcterms:created>
  <dcterms:modified xsi:type="dcterms:W3CDTF">2018-07-07T10:02:00Z</dcterms:modified>
</cp:coreProperties>
</file>